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63E" w:rsidRPr="007D663E" w:rsidRDefault="007D663E" w:rsidP="007D663E">
      <w:pPr>
        <w:spacing w:before="100" w:beforeAutospacing="1" w:after="100" w:afterAutospacing="1" w:line="240" w:lineRule="auto"/>
        <w:outlineLvl w:val="1"/>
        <w:rPr>
          <w:rFonts w:ascii="Times New Roman" w:eastAsia="Times New Roman" w:hAnsi="Times New Roman" w:cs="Times New Roman"/>
          <w:b/>
          <w:bCs/>
          <w:sz w:val="36"/>
          <w:szCs w:val="36"/>
        </w:rPr>
      </w:pPr>
      <w:r w:rsidRPr="007D663E">
        <w:rPr>
          <w:rFonts w:ascii="Times New Roman" w:eastAsia="Times New Roman" w:hAnsi="Times New Roman" w:cs="Times New Roman"/>
          <w:b/>
          <w:bCs/>
          <w:sz w:val="36"/>
          <w:szCs w:val="36"/>
        </w:rPr>
        <w:t>§ 46.2-916.3. Limitations on golf cart and utility vehicle operations on designated public highways.</w:t>
      </w:r>
    </w:p>
    <w:p w:rsidR="007D663E" w:rsidRPr="007D663E" w:rsidRDefault="007D663E" w:rsidP="007D663E">
      <w:pPr>
        <w:spacing w:before="100" w:beforeAutospacing="1" w:after="100" w:afterAutospacing="1" w:line="240" w:lineRule="auto"/>
        <w:rPr>
          <w:rFonts w:ascii="Times New Roman" w:eastAsia="Times New Roman" w:hAnsi="Times New Roman" w:cs="Times New Roman"/>
        </w:rPr>
      </w:pPr>
      <w:r w:rsidRPr="007D663E">
        <w:rPr>
          <w:rFonts w:ascii="Times New Roman" w:eastAsia="Times New Roman" w:hAnsi="Times New Roman" w:cs="Times New Roman"/>
        </w:rPr>
        <w:t>A. Golf cart and utility vehicle operations on designated public highways shall be in accordance with the following limitations:</w:t>
      </w:r>
    </w:p>
    <w:p w:rsidR="007D663E" w:rsidRPr="007D663E" w:rsidRDefault="007D663E" w:rsidP="007D663E">
      <w:pPr>
        <w:spacing w:before="100" w:beforeAutospacing="1" w:after="100" w:afterAutospacing="1" w:line="240" w:lineRule="auto"/>
        <w:rPr>
          <w:rFonts w:ascii="Times New Roman" w:eastAsia="Times New Roman" w:hAnsi="Times New Roman" w:cs="Times New Roman"/>
        </w:rPr>
      </w:pPr>
      <w:r w:rsidRPr="007D663E">
        <w:rPr>
          <w:rFonts w:ascii="Times New Roman" w:eastAsia="Times New Roman" w:hAnsi="Times New Roman" w:cs="Times New Roman"/>
        </w:rPr>
        <w:t>1. A golf cart or utility vehicle may be operated only on designated public highways where the posted speed limit is 25 miles per hour or less. However, a golf cart or utility vehicle may cross a highway at an intersection controlled by a traffic light if the highway has a posted speed limit of no more than 35 miles per hour and in the Town of Colonial Beach may cross any highway at an intersection marked as a golf cart crossing by signs posted by the Virginia Department of Transportation;</w:t>
      </w:r>
    </w:p>
    <w:p w:rsidR="007D663E" w:rsidRPr="007D663E" w:rsidRDefault="007D663E" w:rsidP="007D663E">
      <w:pPr>
        <w:spacing w:before="100" w:beforeAutospacing="1" w:after="100" w:afterAutospacing="1" w:line="240" w:lineRule="auto"/>
        <w:rPr>
          <w:rFonts w:ascii="Times New Roman" w:eastAsia="Times New Roman" w:hAnsi="Times New Roman" w:cs="Times New Roman"/>
        </w:rPr>
      </w:pPr>
      <w:r w:rsidRPr="007D663E">
        <w:rPr>
          <w:rFonts w:ascii="Times New Roman" w:eastAsia="Times New Roman" w:hAnsi="Times New Roman" w:cs="Times New Roman"/>
        </w:rPr>
        <w:t>2. In towns with a population of 2,000 or less, a golf cart or utility vehicle may cross a highway at an intersection conspicuously marked as a golf cart crossing by signs posted by the Virginia Department of Transportation if the highway has a posted speed limit of no more than 35 miles per hour and the crossing is required as the only means to provide golf cart access from one part of the town to another part of the town;</w:t>
      </w:r>
    </w:p>
    <w:p w:rsidR="007D663E" w:rsidRPr="007D663E" w:rsidRDefault="007D663E" w:rsidP="007D663E">
      <w:pPr>
        <w:spacing w:before="100" w:beforeAutospacing="1" w:after="100" w:afterAutospacing="1" w:line="240" w:lineRule="auto"/>
        <w:rPr>
          <w:rFonts w:ascii="Times New Roman" w:eastAsia="Times New Roman" w:hAnsi="Times New Roman" w:cs="Times New Roman"/>
        </w:rPr>
      </w:pPr>
      <w:r w:rsidRPr="007D663E">
        <w:rPr>
          <w:rFonts w:ascii="Times New Roman" w:eastAsia="Times New Roman" w:hAnsi="Times New Roman" w:cs="Times New Roman"/>
        </w:rPr>
        <w:t>3. No person shall operate any golf cart or utility vehicle on any public highway unless he has in his possession a valid driver's license;</w:t>
      </w:r>
    </w:p>
    <w:p w:rsidR="007D663E" w:rsidRPr="007D663E" w:rsidRDefault="007D663E" w:rsidP="007D663E">
      <w:pPr>
        <w:spacing w:before="100" w:beforeAutospacing="1" w:after="100" w:afterAutospacing="1" w:line="240" w:lineRule="auto"/>
        <w:rPr>
          <w:rFonts w:ascii="Times New Roman" w:eastAsia="Times New Roman" w:hAnsi="Times New Roman" w:cs="Times New Roman"/>
        </w:rPr>
      </w:pPr>
      <w:r w:rsidRPr="007D663E">
        <w:rPr>
          <w:rFonts w:ascii="Times New Roman" w:eastAsia="Times New Roman" w:hAnsi="Times New Roman" w:cs="Times New Roman"/>
        </w:rPr>
        <w:t xml:space="preserve">4. Every golf cart or utility vehicle, whenever operated on a public highway, shall display a slow-moving vehicle emblem in conformity with § </w:t>
      </w:r>
      <w:hyperlink r:id="rId4" w:history="1">
        <w:r w:rsidRPr="007D663E">
          <w:rPr>
            <w:rFonts w:ascii="Times New Roman" w:eastAsia="Times New Roman" w:hAnsi="Times New Roman" w:cs="Times New Roman"/>
            <w:color w:val="0000FF"/>
            <w:u w:val="single"/>
          </w:rPr>
          <w:t>46.2-1081</w:t>
        </w:r>
      </w:hyperlink>
      <w:r w:rsidRPr="007D663E">
        <w:rPr>
          <w:rFonts w:ascii="Times New Roman" w:eastAsia="Times New Roman" w:hAnsi="Times New Roman" w:cs="Times New Roman"/>
        </w:rPr>
        <w:t>; and</w:t>
      </w:r>
    </w:p>
    <w:p w:rsidR="007D663E" w:rsidRPr="007D663E" w:rsidRDefault="007D663E" w:rsidP="007D663E">
      <w:pPr>
        <w:spacing w:before="100" w:beforeAutospacing="1" w:after="100" w:afterAutospacing="1" w:line="240" w:lineRule="auto"/>
        <w:rPr>
          <w:rFonts w:ascii="Times New Roman" w:eastAsia="Times New Roman" w:hAnsi="Times New Roman" w:cs="Times New Roman"/>
        </w:rPr>
      </w:pPr>
      <w:r w:rsidRPr="007D663E">
        <w:rPr>
          <w:rFonts w:ascii="Times New Roman" w:eastAsia="Times New Roman" w:hAnsi="Times New Roman" w:cs="Times New Roman"/>
        </w:rPr>
        <w:t xml:space="preserve">5. Golf carts and utility vehicles shall be operated upon the public highways only between sunrise and sunset, unless equipped with such lights as are required in Article 3 (§ </w:t>
      </w:r>
      <w:hyperlink r:id="rId5" w:history="1">
        <w:r w:rsidRPr="007D663E">
          <w:rPr>
            <w:rFonts w:ascii="Times New Roman" w:eastAsia="Times New Roman" w:hAnsi="Times New Roman" w:cs="Times New Roman"/>
            <w:color w:val="0000FF"/>
            <w:u w:val="single"/>
          </w:rPr>
          <w:t>46.2-1010</w:t>
        </w:r>
      </w:hyperlink>
      <w:r w:rsidRPr="007D663E">
        <w:rPr>
          <w:rFonts w:ascii="Times New Roman" w:eastAsia="Times New Roman" w:hAnsi="Times New Roman" w:cs="Times New Roman"/>
        </w:rPr>
        <w:t xml:space="preserve"> et seq.) of Chapter 10 for different classes of vehicles.</w:t>
      </w:r>
    </w:p>
    <w:p w:rsidR="007D663E" w:rsidRPr="007D663E" w:rsidRDefault="007D663E" w:rsidP="007D663E">
      <w:pPr>
        <w:spacing w:before="100" w:beforeAutospacing="1" w:after="100" w:afterAutospacing="1" w:line="240" w:lineRule="auto"/>
        <w:rPr>
          <w:rFonts w:ascii="Times New Roman" w:eastAsia="Times New Roman" w:hAnsi="Times New Roman" w:cs="Times New Roman"/>
        </w:rPr>
      </w:pPr>
      <w:r w:rsidRPr="007D663E">
        <w:rPr>
          <w:rFonts w:ascii="Times New Roman" w:eastAsia="Times New Roman" w:hAnsi="Times New Roman" w:cs="Times New Roman"/>
        </w:rPr>
        <w:t>B. The limitations of subdivision A 1 shall not apply to golf carts and utility vehicles being operated as follows:</w:t>
      </w:r>
    </w:p>
    <w:p w:rsidR="007D663E" w:rsidRPr="007D663E" w:rsidRDefault="007D663E" w:rsidP="007D663E">
      <w:pPr>
        <w:spacing w:before="100" w:beforeAutospacing="1" w:after="100" w:afterAutospacing="1" w:line="240" w:lineRule="auto"/>
        <w:rPr>
          <w:rFonts w:ascii="Times New Roman" w:eastAsia="Times New Roman" w:hAnsi="Times New Roman" w:cs="Times New Roman"/>
        </w:rPr>
      </w:pPr>
      <w:r w:rsidRPr="007D663E">
        <w:rPr>
          <w:rFonts w:ascii="Times New Roman" w:eastAsia="Times New Roman" w:hAnsi="Times New Roman" w:cs="Times New Roman"/>
        </w:rPr>
        <w:t>1. To cross a highway from one portion of a golf course to another portion thereof or to another adjacent golf course or to travel between a person's home and golf course if (</w:t>
      </w:r>
      <w:proofErr w:type="spellStart"/>
      <w:r w:rsidRPr="007D663E">
        <w:rPr>
          <w:rFonts w:ascii="Times New Roman" w:eastAsia="Times New Roman" w:hAnsi="Times New Roman" w:cs="Times New Roman"/>
        </w:rPr>
        <w:t>i</w:t>
      </w:r>
      <w:proofErr w:type="spellEnd"/>
      <w:r w:rsidRPr="007D663E">
        <w:rPr>
          <w:rFonts w:ascii="Times New Roman" w:eastAsia="Times New Roman" w:hAnsi="Times New Roman" w:cs="Times New Roman"/>
        </w:rPr>
        <w:t>) the trip would not be longer than one-half mile in either direction and (ii) the speed limit on the road is no more than 35 miles per hour;</w:t>
      </w:r>
    </w:p>
    <w:p w:rsidR="007D663E" w:rsidRPr="007D663E" w:rsidRDefault="007D663E" w:rsidP="007D663E">
      <w:pPr>
        <w:spacing w:before="100" w:beforeAutospacing="1" w:after="100" w:afterAutospacing="1" w:line="240" w:lineRule="auto"/>
        <w:rPr>
          <w:rFonts w:ascii="Times New Roman" w:eastAsia="Times New Roman" w:hAnsi="Times New Roman" w:cs="Times New Roman"/>
        </w:rPr>
      </w:pPr>
      <w:r w:rsidRPr="007D663E">
        <w:rPr>
          <w:rFonts w:ascii="Times New Roman" w:eastAsia="Times New Roman" w:hAnsi="Times New Roman" w:cs="Times New Roman"/>
        </w:rPr>
        <w:t>2. To the extent necessary for local government employees, operating only upon highways located within the locality, to fulfill a governmental purpose, provided the golf cart or utility vehicle is being operated on highways with speed limits of 35 miles per hour or less;</w:t>
      </w:r>
    </w:p>
    <w:p w:rsidR="007D663E" w:rsidRPr="007D663E" w:rsidRDefault="007D663E" w:rsidP="007D663E">
      <w:pPr>
        <w:spacing w:before="100" w:beforeAutospacing="1" w:after="100" w:afterAutospacing="1" w:line="240" w:lineRule="auto"/>
        <w:rPr>
          <w:rFonts w:ascii="Times New Roman" w:eastAsia="Times New Roman" w:hAnsi="Times New Roman" w:cs="Times New Roman"/>
        </w:rPr>
      </w:pPr>
      <w:r w:rsidRPr="007D663E">
        <w:rPr>
          <w:rFonts w:ascii="Times New Roman" w:eastAsia="Times New Roman" w:hAnsi="Times New Roman" w:cs="Times New Roman"/>
        </w:rPr>
        <w:t>3. As necessary by employees of public or private two-year or four-year institutions of higher education if operating on highways within the property limits of such institutions, provided the golf cart or utility vehicle is being operated on highways with speed limits of 35 miles per hour or less;</w:t>
      </w:r>
    </w:p>
    <w:p w:rsidR="007D663E" w:rsidRPr="007D663E" w:rsidRDefault="007D663E" w:rsidP="007D663E">
      <w:pPr>
        <w:spacing w:before="100" w:beforeAutospacing="1" w:after="100" w:afterAutospacing="1" w:line="240" w:lineRule="auto"/>
        <w:rPr>
          <w:rFonts w:ascii="Times New Roman" w:eastAsia="Times New Roman" w:hAnsi="Times New Roman" w:cs="Times New Roman"/>
        </w:rPr>
      </w:pPr>
      <w:r w:rsidRPr="007D663E">
        <w:rPr>
          <w:rFonts w:ascii="Times New Roman" w:eastAsia="Times New Roman" w:hAnsi="Times New Roman" w:cs="Times New Roman"/>
        </w:rPr>
        <w:lastRenderedPageBreak/>
        <w:t>4. On a secondary highway system component that has a posted speed limit of no more than 35 miles per hour and is within three miles of a motor speedway with a seating capacity of at least 25,000 but less than 90,000 on the same day as any race or race-related event conducted on that speedway; and</w:t>
      </w:r>
    </w:p>
    <w:p w:rsidR="007D663E" w:rsidRPr="007D663E" w:rsidRDefault="007D663E" w:rsidP="007D663E">
      <w:pPr>
        <w:spacing w:before="100" w:beforeAutospacing="1" w:after="100" w:afterAutospacing="1" w:line="240" w:lineRule="auto"/>
        <w:rPr>
          <w:rFonts w:ascii="Times New Roman" w:eastAsia="Times New Roman" w:hAnsi="Times New Roman" w:cs="Times New Roman"/>
        </w:rPr>
      </w:pPr>
      <w:r w:rsidRPr="007D663E">
        <w:rPr>
          <w:rFonts w:ascii="Times New Roman" w:eastAsia="Times New Roman" w:hAnsi="Times New Roman" w:cs="Times New Roman"/>
        </w:rPr>
        <w:t>5. To the extent necessary for employees of the Department of Conservation and Recreation, operating only on highways located within Department of Conservation and Recreation property or upon Virginia Department of Transportation-maintained highways that are adjacent to Department of Conservation and Recreation property, to fulfill a governmental purpose, provided that the golf cart or utility vehicle is being operated on highways with speed limits of no more than 35 miles per hour.</w:t>
      </w:r>
    </w:p>
    <w:p w:rsidR="007D663E" w:rsidRPr="007D663E" w:rsidRDefault="007D663E" w:rsidP="007D663E">
      <w:pPr>
        <w:spacing w:before="100" w:beforeAutospacing="1" w:after="100" w:afterAutospacing="1" w:line="240" w:lineRule="auto"/>
        <w:rPr>
          <w:rFonts w:ascii="Times New Roman" w:eastAsia="Times New Roman" w:hAnsi="Times New Roman" w:cs="Times New Roman"/>
        </w:rPr>
      </w:pPr>
      <w:r w:rsidRPr="007D663E">
        <w:rPr>
          <w:rFonts w:ascii="Times New Roman" w:eastAsia="Times New Roman" w:hAnsi="Times New Roman" w:cs="Times New Roman"/>
        </w:rPr>
        <w:t>C. The governing body of any county, city, or town may by ordinance impose additional restrictions or limitations on operations of golf carts, utility vehicles, or both, on public highways within its boundaries, provided that the restrictions or limitations imposed by any such ordinance are no less stringent than the restrictions and limitations contained in this article. In the event that any provision of any such ordinance conflicts with any provision of this section other than subdivision B 5, the provision of the ordinance shall be controlling.</w:t>
      </w:r>
    </w:p>
    <w:p w:rsidR="007D663E" w:rsidRDefault="007D663E" w:rsidP="007D663E">
      <w:pPr>
        <w:spacing w:before="100" w:beforeAutospacing="1" w:after="100" w:afterAutospacing="1" w:line="240" w:lineRule="auto"/>
        <w:rPr>
          <w:rFonts w:ascii="Times New Roman" w:eastAsia="Times New Roman" w:hAnsi="Times New Roman" w:cs="Times New Roman"/>
        </w:rPr>
      </w:pPr>
      <w:r w:rsidRPr="007D663E">
        <w:rPr>
          <w:rFonts w:ascii="Times New Roman" w:eastAsia="Times New Roman" w:hAnsi="Times New Roman" w:cs="Times New Roman"/>
        </w:rPr>
        <w:t xml:space="preserve">2004, c. </w:t>
      </w:r>
      <w:hyperlink r:id="rId6" w:history="1">
        <w:r w:rsidRPr="007D663E">
          <w:rPr>
            <w:rFonts w:ascii="Times New Roman" w:eastAsia="Times New Roman" w:hAnsi="Times New Roman" w:cs="Times New Roman"/>
            <w:color w:val="0000FF"/>
            <w:u w:val="single"/>
          </w:rPr>
          <w:t>746</w:t>
        </w:r>
      </w:hyperlink>
      <w:r w:rsidRPr="007D663E">
        <w:rPr>
          <w:rFonts w:ascii="Times New Roman" w:eastAsia="Times New Roman" w:hAnsi="Times New Roman" w:cs="Times New Roman"/>
        </w:rPr>
        <w:t xml:space="preserve">; 2008, c. </w:t>
      </w:r>
      <w:hyperlink r:id="rId7" w:history="1">
        <w:r w:rsidRPr="007D663E">
          <w:rPr>
            <w:rFonts w:ascii="Times New Roman" w:eastAsia="Times New Roman" w:hAnsi="Times New Roman" w:cs="Times New Roman"/>
            <w:color w:val="0000FF"/>
            <w:u w:val="single"/>
          </w:rPr>
          <w:t>456</w:t>
        </w:r>
      </w:hyperlink>
      <w:r w:rsidRPr="007D663E">
        <w:rPr>
          <w:rFonts w:ascii="Times New Roman" w:eastAsia="Times New Roman" w:hAnsi="Times New Roman" w:cs="Times New Roman"/>
        </w:rPr>
        <w:t xml:space="preserve">; 2009, cc. </w:t>
      </w:r>
      <w:hyperlink r:id="rId8" w:history="1">
        <w:r w:rsidRPr="007D663E">
          <w:rPr>
            <w:rFonts w:ascii="Times New Roman" w:eastAsia="Times New Roman" w:hAnsi="Times New Roman" w:cs="Times New Roman"/>
            <w:color w:val="0000FF"/>
            <w:u w:val="single"/>
          </w:rPr>
          <w:t>743</w:t>
        </w:r>
      </w:hyperlink>
      <w:r w:rsidRPr="007D663E">
        <w:rPr>
          <w:rFonts w:ascii="Times New Roman" w:eastAsia="Times New Roman" w:hAnsi="Times New Roman" w:cs="Times New Roman"/>
        </w:rPr>
        <w:t xml:space="preserve">, </w:t>
      </w:r>
      <w:hyperlink r:id="rId9" w:history="1">
        <w:r w:rsidRPr="007D663E">
          <w:rPr>
            <w:rFonts w:ascii="Times New Roman" w:eastAsia="Times New Roman" w:hAnsi="Times New Roman" w:cs="Times New Roman"/>
            <w:color w:val="0000FF"/>
            <w:u w:val="single"/>
          </w:rPr>
          <w:t>835</w:t>
        </w:r>
      </w:hyperlink>
      <w:r w:rsidRPr="007D663E">
        <w:rPr>
          <w:rFonts w:ascii="Times New Roman" w:eastAsia="Times New Roman" w:hAnsi="Times New Roman" w:cs="Times New Roman"/>
        </w:rPr>
        <w:t xml:space="preserve">; 2010, c. </w:t>
      </w:r>
      <w:hyperlink r:id="rId10" w:history="1">
        <w:r w:rsidRPr="007D663E">
          <w:rPr>
            <w:rFonts w:ascii="Times New Roman" w:eastAsia="Times New Roman" w:hAnsi="Times New Roman" w:cs="Times New Roman"/>
            <w:color w:val="0000FF"/>
            <w:u w:val="single"/>
          </w:rPr>
          <w:t>112</w:t>
        </w:r>
      </w:hyperlink>
      <w:r w:rsidRPr="007D663E">
        <w:rPr>
          <w:rFonts w:ascii="Times New Roman" w:eastAsia="Times New Roman" w:hAnsi="Times New Roman" w:cs="Times New Roman"/>
        </w:rPr>
        <w:t xml:space="preserve">; 2011, cc. </w:t>
      </w:r>
      <w:hyperlink r:id="rId11" w:history="1">
        <w:r w:rsidRPr="007D663E">
          <w:rPr>
            <w:rFonts w:ascii="Times New Roman" w:eastAsia="Times New Roman" w:hAnsi="Times New Roman" w:cs="Times New Roman"/>
            <w:color w:val="0000FF"/>
            <w:u w:val="single"/>
          </w:rPr>
          <w:t>68</w:t>
        </w:r>
      </w:hyperlink>
      <w:r w:rsidRPr="007D663E">
        <w:rPr>
          <w:rFonts w:ascii="Times New Roman" w:eastAsia="Times New Roman" w:hAnsi="Times New Roman" w:cs="Times New Roman"/>
        </w:rPr>
        <w:t xml:space="preserve">, </w:t>
      </w:r>
      <w:hyperlink r:id="rId12" w:history="1">
        <w:r w:rsidRPr="007D663E">
          <w:rPr>
            <w:rFonts w:ascii="Times New Roman" w:eastAsia="Times New Roman" w:hAnsi="Times New Roman" w:cs="Times New Roman"/>
            <w:color w:val="0000FF"/>
            <w:u w:val="single"/>
          </w:rPr>
          <w:t>140</w:t>
        </w:r>
      </w:hyperlink>
      <w:r w:rsidRPr="007D663E">
        <w:rPr>
          <w:rFonts w:ascii="Times New Roman" w:eastAsia="Times New Roman" w:hAnsi="Times New Roman" w:cs="Times New Roman"/>
        </w:rPr>
        <w:t xml:space="preserve">, </w:t>
      </w:r>
      <w:hyperlink r:id="rId13" w:history="1">
        <w:r w:rsidRPr="007D663E">
          <w:rPr>
            <w:rFonts w:ascii="Times New Roman" w:eastAsia="Times New Roman" w:hAnsi="Times New Roman" w:cs="Times New Roman"/>
            <w:color w:val="0000FF"/>
            <w:u w:val="single"/>
          </w:rPr>
          <w:t>469</w:t>
        </w:r>
      </w:hyperlink>
      <w:r w:rsidRPr="007D663E">
        <w:rPr>
          <w:rFonts w:ascii="Times New Roman" w:eastAsia="Times New Roman" w:hAnsi="Times New Roman" w:cs="Times New Roman"/>
        </w:rPr>
        <w:t>.</w:t>
      </w:r>
    </w:p>
    <w:p w:rsidR="007D663E" w:rsidRDefault="007D663E" w:rsidP="007D663E">
      <w:pPr>
        <w:spacing w:before="100" w:beforeAutospacing="1" w:after="100" w:afterAutospacing="1" w:line="240" w:lineRule="auto"/>
        <w:rPr>
          <w:rFonts w:ascii="Times New Roman" w:eastAsia="Times New Roman" w:hAnsi="Times New Roman" w:cs="Times New Roman"/>
        </w:rPr>
      </w:pPr>
    </w:p>
    <w:p w:rsidR="007D663E" w:rsidRDefault="007D663E" w:rsidP="007D663E">
      <w:pPr>
        <w:pStyle w:val="Heading2"/>
      </w:pPr>
      <w:r>
        <w:t xml:space="preserve">§ 46.2-1081. </w:t>
      </w:r>
      <w:proofErr w:type="gramStart"/>
      <w:r>
        <w:t>Slow-moving vehicle emblems.</w:t>
      </w:r>
      <w:proofErr w:type="gramEnd"/>
    </w:p>
    <w:p w:rsidR="007D663E" w:rsidRDefault="007D663E" w:rsidP="007D663E">
      <w:pPr>
        <w:pStyle w:val="NormalWeb"/>
      </w:pPr>
      <w:r>
        <w:t>A. Every farm tractor, self-propelled unit of farm equipment or implement of husbandry, and any other vehicle designed for operation at speeds not in excess of 25 miles per hour or normally operated at speeds not in excess of 25 miles per hour, shall display a triangular slow-moving vehicle emblem on the rear of the vehicle when traveling on a public highway at any time of the day or night.</w:t>
      </w:r>
    </w:p>
    <w:p w:rsidR="007D663E" w:rsidRDefault="007D663E" w:rsidP="007D663E">
      <w:pPr>
        <w:pStyle w:val="NormalWeb"/>
      </w:pPr>
      <w:r>
        <w:t>B. Should a slow-moving vehicle tow a unit on a public highway, then the towing vehicle or the towed unit shall be equipped with the slow-moving vehicle emblem as follows:</w:t>
      </w:r>
    </w:p>
    <w:p w:rsidR="007D663E" w:rsidRDefault="007D663E" w:rsidP="007D663E">
      <w:pPr>
        <w:pStyle w:val="NormalWeb"/>
      </w:pPr>
      <w:r>
        <w:t>1. If the towed unit or any load thereon obscures the slow-moving vehicle emblem on the towing vehicle, the towed unit shall be equipped with a slow-moving vehicle emblem, in which case the towing vehicle need not display such emblem.</w:t>
      </w:r>
    </w:p>
    <w:p w:rsidR="007D663E" w:rsidRDefault="007D663E" w:rsidP="007D663E">
      <w:pPr>
        <w:pStyle w:val="NormalWeb"/>
      </w:pPr>
      <w:r>
        <w:t>2. If the slow-moving vehicle emblem on the towing vehicle is not obscured by the towed unit or any load thereon, then either or both such vehicles may be equipped with such emblem.</w:t>
      </w:r>
    </w:p>
    <w:p w:rsidR="007D663E" w:rsidRDefault="007D663E" w:rsidP="007D663E">
      <w:pPr>
        <w:pStyle w:val="NormalWeb"/>
      </w:pPr>
      <w:r>
        <w:t>C. The standards and specifications for the slow-moving vehicle emblem and the position of mounting of the emblem shall conform to standards and specifications adopted by the American Society of Agricultural Engineers, the Society of Automotive Engineers, the American National Standards Institute, Inc., or the federal Department of Transportation.</w:t>
      </w:r>
    </w:p>
    <w:p w:rsidR="007D663E" w:rsidRDefault="007D663E" w:rsidP="007D663E">
      <w:pPr>
        <w:pStyle w:val="NormalWeb"/>
      </w:pPr>
      <w:r>
        <w:lastRenderedPageBreak/>
        <w:t>D. The use of the slow-moving vehicle emblem shall be restricted to the uses specified in this title.</w:t>
      </w:r>
    </w:p>
    <w:p w:rsidR="007D663E" w:rsidRDefault="007D663E" w:rsidP="007D663E">
      <w:pPr>
        <w:pStyle w:val="NormalWeb"/>
      </w:pPr>
      <w:r>
        <w:t>E. The provisions of this section shall not apply to bicycles, electric power-assisted bicycles, or mopeds. Display of a slow-moving vehicle emblem on a bicycle, electric power-assisted bicycle, or moped shall not be deemed a violation of this section.</w:t>
      </w:r>
    </w:p>
    <w:p w:rsidR="007D663E" w:rsidRDefault="007D663E" w:rsidP="007D663E">
      <w:pPr>
        <w:pStyle w:val="NormalWeb"/>
      </w:pPr>
      <w:proofErr w:type="gramStart"/>
      <w:r>
        <w:t xml:space="preserve">1970, c. 301, § 46.1-264.1; 1972, c. 146; 1978, c. 605; 1989, c. 727; 1996, c. </w:t>
      </w:r>
      <w:hyperlink r:id="rId14" w:history="1">
        <w:r>
          <w:rPr>
            <w:rStyle w:val="Hyperlink"/>
          </w:rPr>
          <w:t>82</w:t>
        </w:r>
      </w:hyperlink>
      <w:r>
        <w:t xml:space="preserve">; 2003, cc. </w:t>
      </w:r>
      <w:hyperlink r:id="rId15" w:history="1">
        <w:r>
          <w:rPr>
            <w:rStyle w:val="Hyperlink"/>
          </w:rPr>
          <w:t>29</w:t>
        </w:r>
      </w:hyperlink>
      <w:r>
        <w:t xml:space="preserve">, </w:t>
      </w:r>
      <w:hyperlink r:id="rId16" w:history="1">
        <w:r>
          <w:rPr>
            <w:rStyle w:val="Hyperlink"/>
          </w:rPr>
          <w:t>46</w:t>
        </w:r>
      </w:hyperlink>
      <w:r>
        <w:t>.</w:t>
      </w:r>
      <w:proofErr w:type="gramEnd"/>
    </w:p>
    <w:p w:rsidR="007D663E" w:rsidRDefault="007D663E" w:rsidP="007D663E">
      <w:pPr>
        <w:spacing w:before="100" w:beforeAutospacing="1" w:after="100" w:afterAutospacing="1" w:line="240" w:lineRule="auto"/>
        <w:rPr>
          <w:rFonts w:ascii="Times New Roman" w:eastAsia="Times New Roman" w:hAnsi="Times New Roman" w:cs="Times New Roman"/>
        </w:rPr>
      </w:pPr>
    </w:p>
    <w:p w:rsidR="007D663E" w:rsidRDefault="007D663E" w:rsidP="007D663E">
      <w:pPr>
        <w:spacing w:before="100" w:beforeAutospacing="1" w:after="100" w:afterAutospacing="1" w:line="240" w:lineRule="auto"/>
        <w:rPr>
          <w:rFonts w:ascii="Times New Roman" w:eastAsia="Times New Roman" w:hAnsi="Times New Roman" w:cs="Times New Roman"/>
        </w:rPr>
      </w:pPr>
    </w:p>
    <w:p w:rsidR="007D663E" w:rsidRDefault="007D663E" w:rsidP="007D663E">
      <w:pPr>
        <w:pStyle w:val="Heading2"/>
      </w:pPr>
      <w:r>
        <w:t>§ 46.2-1010. Equipment required.</w:t>
      </w:r>
    </w:p>
    <w:p w:rsidR="007D663E" w:rsidRDefault="007D663E" w:rsidP="007D663E">
      <w:pPr>
        <w:pStyle w:val="NormalWeb"/>
      </w:pPr>
      <w:r>
        <w:t xml:space="preserve">Every vehicle driven or moved on a highway within the Commonwealth shall at all times be equipped with such lights as are required in this chapter for different classes of vehicles. The lights shall at all times be capable of being lighted, except as otherwise provided. This section shall not apply, however, to any vehicle for transporting well-drilling machinery licensed under § </w:t>
      </w:r>
      <w:hyperlink r:id="rId17" w:history="1">
        <w:r>
          <w:rPr>
            <w:rStyle w:val="Hyperlink"/>
          </w:rPr>
          <w:t>46.2-700</w:t>
        </w:r>
      </w:hyperlink>
      <w:r>
        <w:t xml:space="preserve"> when operated only between the hours of sunrise and sunset.</w:t>
      </w:r>
    </w:p>
    <w:p w:rsidR="007D663E" w:rsidRDefault="007D663E" w:rsidP="007D663E">
      <w:pPr>
        <w:pStyle w:val="NormalWeb"/>
      </w:pPr>
      <w:proofErr w:type="gramStart"/>
      <w:r>
        <w:t>Code 1950, § 46-264; 1950, p. 690; 1958, c. 541, § 46.1-259; 1989, c. 727.</w:t>
      </w:r>
      <w:proofErr w:type="gramEnd"/>
    </w:p>
    <w:p w:rsidR="00375924" w:rsidRDefault="00375924" w:rsidP="007D663E">
      <w:pPr>
        <w:pStyle w:val="NormalWeb"/>
      </w:pPr>
    </w:p>
    <w:p w:rsidR="00375924" w:rsidRDefault="00375924" w:rsidP="00375924">
      <w:pPr>
        <w:pStyle w:val="Heading2"/>
      </w:pPr>
      <w:r>
        <w:t xml:space="preserve">§ 46.2-676. </w:t>
      </w:r>
      <w:proofErr w:type="gramStart"/>
      <w:r>
        <w:t>Registration certificate, license plates, or decals for any golf carts and utility vehicles; fees.</w:t>
      </w:r>
      <w:proofErr w:type="gramEnd"/>
    </w:p>
    <w:p w:rsidR="00375924" w:rsidRDefault="00375924" w:rsidP="00375924">
      <w:pPr>
        <w:pStyle w:val="NormalWeb"/>
      </w:pPr>
      <w:r>
        <w:t>No person shall be required to obtain the registration certificate, license plates, or decals for or pay any registration fee for any golf cart or utility vehicle that either (</w:t>
      </w:r>
      <w:proofErr w:type="spellStart"/>
      <w:r>
        <w:t>i</w:t>
      </w:r>
      <w:proofErr w:type="spellEnd"/>
      <w:r>
        <w:t xml:space="preserve">) is not operated on or over any public highway in the Commonwealth or (ii) is operated on or over a public highway as authorized by Article 13.1 (§ </w:t>
      </w:r>
      <w:hyperlink r:id="rId18" w:history="1">
        <w:r>
          <w:rPr>
            <w:rStyle w:val="Hyperlink"/>
          </w:rPr>
          <w:t>46.2-916.1</w:t>
        </w:r>
      </w:hyperlink>
      <w:r>
        <w:t xml:space="preserve"> et seq.) of Chapter 8.</w:t>
      </w:r>
    </w:p>
    <w:p w:rsidR="00375924" w:rsidRDefault="00375924" w:rsidP="00375924">
      <w:pPr>
        <w:pStyle w:val="NormalWeb"/>
      </w:pPr>
      <w:r>
        <w:t xml:space="preserve">1973, c. 194, § 46.1-45.2; 1980, c. 37; 1986, c. 220; 1987, cc. 151, 342, 388; 1989, c. 727; 1995, c. </w:t>
      </w:r>
      <w:hyperlink r:id="rId19" w:history="1">
        <w:r>
          <w:rPr>
            <w:rStyle w:val="Hyperlink"/>
          </w:rPr>
          <w:t>670</w:t>
        </w:r>
      </w:hyperlink>
      <w:r>
        <w:t xml:space="preserve">; 1996, c. </w:t>
      </w:r>
      <w:hyperlink r:id="rId20" w:history="1">
        <w:r>
          <w:rPr>
            <w:rStyle w:val="Hyperlink"/>
          </w:rPr>
          <w:t>920</w:t>
        </w:r>
      </w:hyperlink>
      <w:r>
        <w:t xml:space="preserve">; 1997, cc. </w:t>
      </w:r>
      <w:hyperlink r:id="rId21" w:history="1">
        <w:r>
          <w:rPr>
            <w:rStyle w:val="Hyperlink"/>
          </w:rPr>
          <w:t>485</w:t>
        </w:r>
      </w:hyperlink>
      <w:r>
        <w:t xml:space="preserve">, </w:t>
      </w:r>
      <w:hyperlink r:id="rId22" w:history="1">
        <w:r>
          <w:rPr>
            <w:rStyle w:val="Hyperlink"/>
          </w:rPr>
          <w:t>783</w:t>
        </w:r>
      </w:hyperlink>
      <w:r>
        <w:t xml:space="preserve">, </w:t>
      </w:r>
      <w:hyperlink r:id="rId23" w:history="1">
        <w:r>
          <w:rPr>
            <w:rStyle w:val="Hyperlink"/>
          </w:rPr>
          <w:t>904</w:t>
        </w:r>
      </w:hyperlink>
      <w:r>
        <w:t xml:space="preserve">; 1999, c. </w:t>
      </w:r>
      <w:hyperlink r:id="rId24" w:history="1">
        <w:r>
          <w:rPr>
            <w:rStyle w:val="Hyperlink"/>
          </w:rPr>
          <w:t>211</w:t>
        </w:r>
      </w:hyperlink>
      <w:r>
        <w:t xml:space="preserve">; 2002, cc. </w:t>
      </w:r>
      <w:hyperlink r:id="rId25" w:history="1">
        <w:r>
          <w:rPr>
            <w:rStyle w:val="Hyperlink"/>
          </w:rPr>
          <w:t>44</w:t>
        </w:r>
      </w:hyperlink>
      <w:r>
        <w:t xml:space="preserve">, </w:t>
      </w:r>
      <w:hyperlink r:id="rId26" w:history="1">
        <w:r>
          <w:rPr>
            <w:rStyle w:val="Hyperlink"/>
          </w:rPr>
          <w:t>98</w:t>
        </w:r>
      </w:hyperlink>
      <w:r>
        <w:t xml:space="preserve">; 2003, c. </w:t>
      </w:r>
      <w:hyperlink r:id="rId27" w:history="1">
        <w:r>
          <w:rPr>
            <w:rStyle w:val="Hyperlink"/>
          </w:rPr>
          <w:t>105</w:t>
        </w:r>
      </w:hyperlink>
      <w:r>
        <w:t xml:space="preserve">; 2004, c. </w:t>
      </w:r>
      <w:hyperlink r:id="rId28" w:history="1">
        <w:r>
          <w:rPr>
            <w:rStyle w:val="Hyperlink"/>
          </w:rPr>
          <w:t>746</w:t>
        </w:r>
      </w:hyperlink>
      <w:r>
        <w:t xml:space="preserve">; 2016, c. </w:t>
      </w:r>
      <w:hyperlink r:id="rId29" w:history="1">
        <w:r>
          <w:rPr>
            <w:rStyle w:val="Hyperlink"/>
          </w:rPr>
          <w:t>142</w:t>
        </w:r>
      </w:hyperlink>
      <w:r>
        <w:t>.</w:t>
      </w:r>
    </w:p>
    <w:p w:rsidR="00375924" w:rsidRDefault="00375924" w:rsidP="007D663E">
      <w:pPr>
        <w:pStyle w:val="NormalWeb"/>
      </w:pPr>
    </w:p>
    <w:p w:rsidR="007D663E" w:rsidRPr="007D663E" w:rsidRDefault="007D663E" w:rsidP="007D663E">
      <w:pPr>
        <w:spacing w:before="100" w:beforeAutospacing="1" w:after="100" w:afterAutospacing="1" w:line="240" w:lineRule="auto"/>
        <w:rPr>
          <w:rFonts w:ascii="Times New Roman" w:eastAsia="Times New Roman" w:hAnsi="Times New Roman" w:cs="Times New Roman"/>
        </w:rPr>
      </w:pPr>
    </w:p>
    <w:p w:rsidR="002B4681" w:rsidRDefault="00F33C4A"/>
    <w:sectPr w:rsidR="002B4681" w:rsidSect="00633E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663E"/>
    <w:rsid w:val="000514BD"/>
    <w:rsid w:val="00375924"/>
    <w:rsid w:val="00413D19"/>
    <w:rsid w:val="004373C5"/>
    <w:rsid w:val="00633E77"/>
    <w:rsid w:val="007D663E"/>
    <w:rsid w:val="008E71DA"/>
    <w:rsid w:val="00AB1147"/>
    <w:rsid w:val="00AE2FC0"/>
    <w:rsid w:val="00F33C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E77"/>
  </w:style>
  <w:style w:type="paragraph" w:styleId="Heading2">
    <w:name w:val="heading 2"/>
    <w:basedOn w:val="Normal"/>
    <w:link w:val="Heading2Char"/>
    <w:uiPriority w:val="9"/>
    <w:qFormat/>
    <w:rsid w:val="007D66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663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D663E"/>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7D663E"/>
    <w:rPr>
      <w:color w:val="0000FF"/>
      <w:u w:val="single"/>
    </w:rPr>
  </w:style>
</w:styles>
</file>

<file path=word/webSettings.xml><?xml version="1.0" encoding="utf-8"?>
<w:webSettings xmlns:r="http://schemas.openxmlformats.org/officeDocument/2006/relationships" xmlns:w="http://schemas.openxmlformats.org/wordprocessingml/2006/main">
  <w:divs>
    <w:div w:id="315426536">
      <w:bodyDiv w:val="1"/>
      <w:marLeft w:val="0"/>
      <w:marRight w:val="0"/>
      <w:marTop w:val="0"/>
      <w:marBottom w:val="0"/>
      <w:divBdr>
        <w:top w:val="none" w:sz="0" w:space="0" w:color="auto"/>
        <w:left w:val="none" w:sz="0" w:space="0" w:color="auto"/>
        <w:bottom w:val="none" w:sz="0" w:space="0" w:color="auto"/>
        <w:right w:val="none" w:sz="0" w:space="0" w:color="auto"/>
      </w:divBdr>
    </w:div>
    <w:div w:id="1537888762">
      <w:bodyDiv w:val="1"/>
      <w:marLeft w:val="0"/>
      <w:marRight w:val="0"/>
      <w:marTop w:val="0"/>
      <w:marBottom w:val="0"/>
      <w:divBdr>
        <w:top w:val="none" w:sz="0" w:space="0" w:color="auto"/>
        <w:left w:val="none" w:sz="0" w:space="0" w:color="auto"/>
        <w:bottom w:val="none" w:sz="0" w:space="0" w:color="auto"/>
        <w:right w:val="none" w:sz="0" w:space="0" w:color="auto"/>
      </w:divBdr>
    </w:div>
    <w:div w:id="1884050291">
      <w:bodyDiv w:val="1"/>
      <w:marLeft w:val="0"/>
      <w:marRight w:val="0"/>
      <w:marTop w:val="0"/>
      <w:marBottom w:val="0"/>
      <w:divBdr>
        <w:top w:val="none" w:sz="0" w:space="0" w:color="auto"/>
        <w:left w:val="none" w:sz="0" w:space="0" w:color="auto"/>
        <w:bottom w:val="none" w:sz="0" w:space="0" w:color="auto"/>
        <w:right w:val="none" w:sz="0" w:space="0" w:color="auto"/>
      </w:divBdr>
    </w:div>
    <w:div w:id="212835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webSettings" Target="web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settings" Target="setting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theme" Target="theme/theme1.xm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Fran</cp:lastModifiedBy>
  <cp:revision>3</cp:revision>
  <dcterms:created xsi:type="dcterms:W3CDTF">2018-05-28T12:51:00Z</dcterms:created>
  <dcterms:modified xsi:type="dcterms:W3CDTF">2018-05-28T13:44:00Z</dcterms:modified>
</cp:coreProperties>
</file>